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B4C" w:rsidRPr="00F60B4C" w:rsidRDefault="00F60B4C" w:rsidP="00F60B4C">
      <w:pPr>
        <w:spacing w:after="0" w:line="240" w:lineRule="auto"/>
        <w:jc w:val="center"/>
        <w:rPr>
          <w:rFonts w:eastAsia="Times New Roman" w:cs="Times New Roman"/>
          <w:b/>
          <w:bCs/>
          <w:szCs w:val="24"/>
          <w:lang w:eastAsia="es-CO"/>
        </w:rPr>
      </w:pPr>
    </w:p>
    <w:p w:rsidR="00F60B4C" w:rsidRPr="00F60B4C" w:rsidRDefault="00F60B4C" w:rsidP="00F60B4C">
      <w:pPr>
        <w:spacing w:after="0" w:line="240" w:lineRule="auto"/>
        <w:jc w:val="center"/>
        <w:rPr>
          <w:rFonts w:eastAsia="Times New Roman" w:cs="Times New Roman"/>
          <w:b/>
          <w:bCs/>
          <w:szCs w:val="24"/>
          <w:lang w:eastAsia="es-CO"/>
        </w:rPr>
      </w:pPr>
    </w:p>
    <w:p w:rsidR="00F60B4C" w:rsidRPr="00F60B4C" w:rsidRDefault="00F60B4C" w:rsidP="00F60B4C">
      <w:pPr>
        <w:spacing w:after="0" w:line="240" w:lineRule="auto"/>
        <w:jc w:val="center"/>
        <w:rPr>
          <w:rFonts w:eastAsia="Times New Roman" w:cs="Times New Roman"/>
          <w:szCs w:val="24"/>
          <w:lang w:eastAsia="es-CO"/>
        </w:rPr>
      </w:pPr>
      <w:r w:rsidRPr="00F60B4C">
        <w:rPr>
          <w:rFonts w:eastAsia="Times New Roman" w:cs="Times New Roman"/>
          <w:b/>
          <w:bCs/>
          <w:szCs w:val="24"/>
          <w:lang w:eastAsia="es-CO"/>
        </w:rPr>
        <w:t>OFICIO Nº 0259 [006594]</w:t>
      </w:r>
    </w:p>
    <w:p w:rsidR="00F60B4C" w:rsidRPr="00F60B4C" w:rsidRDefault="00F60B4C" w:rsidP="00F60B4C">
      <w:pPr>
        <w:spacing w:after="0" w:line="240" w:lineRule="auto"/>
        <w:jc w:val="center"/>
        <w:rPr>
          <w:rFonts w:eastAsia="Times New Roman" w:cs="Times New Roman"/>
          <w:szCs w:val="24"/>
          <w:lang w:eastAsia="es-CO"/>
        </w:rPr>
      </w:pPr>
      <w:r w:rsidRPr="00F60B4C">
        <w:rPr>
          <w:rFonts w:eastAsia="Times New Roman" w:cs="Times New Roman"/>
          <w:b/>
          <w:bCs/>
          <w:szCs w:val="24"/>
          <w:lang w:eastAsia="es-CO"/>
        </w:rPr>
        <w:t>15-03-2019</w:t>
      </w:r>
    </w:p>
    <w:p w:rsidR="00F60B4C" w:rsidRPr="00F60B4C" w:rsidRDefault="00F60B4C" w:rsidP="00F60B4C">
      <w:pPr>
        <w:spacing w:after="0" w:line="240" w:lineRule="auto"/>
        <w:jc w:val="center"/>
        <w:rPr>
          <w:rFonts w:eastAsia="Times New Roman" w:cs="Times New Roman"/>
          <w:szCs w:val="24"/>
          <w:lang w:eastAsia="es-CO"/>
        </w:rPr>
      </w:pPr>
      <w:r w:rsidRPr="00F60B4C">
        <w:rPr>
          <w:rFonts w:eastAsia="Times New Roman" w:cs="Times New Roman"/>
          <w:b/>
          <w:bCs/>
          <w:szCs w:val="24"/>
          <w:lang w:eastAsia="es-CO"/>
        </w:rPr>
        <w:t>DIAN</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b/>
          <w:bCs/>
          <w:szCs w:val="24"/>
          <w:lang w:eastAsia="es-CO"/>
        </w:rPr>
        <w:t> </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b/>
          <w:bCs/>
          <w:szCs w:val="24"/>
          <w:lang w:eastAsia="es-CO"/>
        </w:rPr>
        <w:t> </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Dirección de Gestión Jurídica</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Bogotá, D. C.</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100208201-0259</w:t>
      </w:r>
      <w:bookmarkStart w:id="0" w:name="_GoBack"/>
      <w:bookmarkEnd w:id="0"/>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b/>
          <w:bCs/>
          <w:szCs w:val="24"/>
          <w:lang w:eastAsia="es-CO"/>
        </w:rPr>
        <w:t>Referencia:</w:t>
      </w:r>
      <w:r w:rsidRPr="00F60B4C">
        <w:rPr>
          <w:rFonts w:eastAsia="Times New Roman" w:cs="Times New Roman"/>
          <w:szCs w:val="24"/>
          <w:lang w:eastAsia="es-CO"/>
        </w:rPr>
        <w:t> Radicado 100076026 del 15/11/2018</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b/>
          <w:bCs/>
          <w:szCs w:val="24"/>
          <w:lang w:eastAsia="es-CO"/>
        </w:rPr>
        <w:t>Tema</w:t>
      </w:r>
      <w:r w:rsidRPr="00F60B4C">
        <w:rPr>
          <w:rFonts w:eastAsia="Times New Roman" w:cs="Times New Roman"/>
          <w:szCs w:val="24"/>
          <w:lang w:eastAsia="es-CO"/>
        </w:rPr>
        <w:t> Retención en la Fuente</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b/>
          <w:bCs/>
          <w:szCs w:val="24"/>
          <w:lang w:eastAsia="es-CO"/>
        </w:rPr>
        <w:t>Descriptores</w:t>
      </w:r>
      <w:r w:rsidRPr="00F60B4C">
        <w:rPr>
          <w:rFonts w:eastAsia="Times New Roman" w:cs="Times New Roman"/>
          <w:szCs w:val="24"/>
          <w:lang w:eastAsia="es-CO"/>
        </w:rPr>
        <w:t> Rendimientos Financieros - Conceptos</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b/>
          <w:bCs/>
          <w:szCs w:val="24"/>
          <w:lang w:eastAsia="es-CO"/>
        </w:rPr>
        <w:t>Fuentes formales</w:t>
      </w:r>
      <w:r w:rsidRPr="00F60B4C">
        <w:rPr>
          <w:rFonts w:eastAsia="Times New Roman" w:cs="Times New Roman"/>
          <w:szCs w:val="24"/>
          <w:lang w:eastAsia="es-CO"/>
        </w:rPr>
        <w:t> Estatuto tributario artículos </w:t>
      </w:r>
      <w:hyperlink r:id="rId4" w:tooltip="Estatuto Tributario CETA" w:history="1">
        <w:r w:rsidRPr="00F60B4C">
          <w:rPr>
            <w:rFonts w:eastAsia="Times New Roman" w:cs="Times New Roman"/>
            <w:szCs w:val="24"/>
            <w:u w:val="single"/>
            <w:lang w:eastAsia="es-CO"/>
          </w:rPr>
          <w:t>369</w:t>
        </w:r>
      </w:hyperlink>
      <w:r w:rsidRPr="00F60B4C">
        <w:rPr>
          <w:rFonts w:eastAsia="Times New Roman" w:cs="Times New Roman"/>
          <w:szCs w:val="24"/>
          <w:lang w:eastAsia="es-CO"/>
        </w:rPr>
        <w:t>, </w:t>
      </w:r>
      <w:hyperlink r:id="rId5" w:tooltip="Estatuto Tributario CETA" w:history="1">
        <w:r w:rsidRPr="00F60B4C">
          <w:rPr>
            <w:rFonts w:eastAsia="Times New Roman" w:cs="Times New Roman"/>
            <w:szCs w:val="24"/>
            <w:u w:val="single"/>
            <w:lang w:eastAsia="es-CO"/>
          </w:rPr>
          <w:t>395</w:t>
        </w:r>
      </w:hyperlink>
      <w:r w:rsidRPr="00F60B4C">
        <w:rPr>
          <w:rFonts w:eastAsia="Times New Roman" w:cs="Times New Roman"/>
          <w:szCs w:val="24"/>
          <w:lang w:eastAsia="es-CO"/>
        </w:rPr>
        <w:t>, </w:t>
      </w:r>
      <w:hyperlink r:id="rId6" w:tooltip="Estatuto Tributario CETA" w:history="1">
        <w:r w:rsidRPr="00F60B4C">
          <w:rPr>
            <w:rFonts w:eastAsia="Times New Roman" w:cs="Times New Roman"/>
            <w:szCs w:val="24"/>
            <w:u w:val="single"/>
            <w:lang w:eastAsia="es-CO"/>
          </w:rPr>
          <w:t>401</w:t>
        </w:r>
      </w:hyperlink>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De conformidad con el artículo 19 del Decreto número 4048 de 2008 es función de este Despacho absolver las consultas escritas que se formulen sobre interpretación y aplicación de las normas tributarias de carácter nacional, aduaneras y cambiarias en lo de competencia de esta entidad.</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Expresa en su comunicación que en cumplimiento de un Laudo Arbitral proferido en contra de la Alcaldía Mayor de Bogotá- Alcaldía Local de Kennedy, se expidió la Resolución de reconocimiento y pago de intereses moratorios al contratista favorecido con el Laudo arbitral por concepto de la ejecución de un contrato de suministro. Sobre estas sumas la Alcaldía practicó retención en la fuente a título del impuesto sobre la renta por concepto de rendimientos financieros a la tarifa del siete por ciento (7%).</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Posteriormente el contratista beneficiario del Laudo arbitral solicita la devolución de estas sumas, por lo cual pregunta si procede su devolución.</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Al respecto debe señalarse:</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La retención en la fuente a título del impuesto sobre la renta es un mecanismo de recaudo de este impuesto. En tal sentido procede en los casos en que el respectivo ingreso conforme con lo consagrado en el artículo 26 del Estatuto tributario se encuentre sometido al impuesto sobre la renta “... los ingresos ordinarios y extraordinarios realizados en el año o período gravable, que sean susceptibles de producir un incremento neto del patrimonio en el momento de su percepción, y que no hayan sido expresamente exceptuados” los cuales se toman para dar inicio a la depuración y determinar la renta líquida del impuesto.</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El </w:t>
      </w:r>
      <w:hyperlink r:id="rId7" w:tooltip="Estatuto Tributario CETA" w:history="1">
        <w:r w:rsidRPr="00F60B4C">
          <w:rPr>
            <w:rFonts w:eastAsia="Times New Roman" w:cs="Times New Roman"/>
            <w:szCs w:val="24"/>
            <w:u w:val="single"/>
            <w:lang w:eastAsia="es-CO"/>
          </w:rPr>
          <w:t>artículo 395</w:t>
        </w:r>
      </w:hyperlink>
      <w:r w:rsidRPr="00F60B4C">
        <w:rPr>
          <w:rFonts w:eastAsia="Times New Roman" w:cs="Times New Roman"/>
          <w:szCs w:val="24"/>
          <w:lang w:eastAsia="es-CO"/>
        </w:rPr>
        <w:t> del Estatuto Tributario establece una retención en la fuente </w:t>
      </w:r>
      <w:r w:rsidRPr="00F60B4C">
        <w:rPr>
          <w:rFonts w:eastAsia="Times New Roman" w:cs="Times New Roman"/>
          <w:i/>
          <w:iCs/>
          <w:szCs w:val="24"/>
          <w:lang w:eastAsia="es-CO"/>
        </w:rPr>
        <w:t>sobre los pagos o abonos en cuenta que efectúen las personas jurídicas y sociedades de hecho, por concepto de rendimientos financieros, tales como, intereses, descuentos, beneficios, ganancias, utilidades y, en general, lo correspondiente a rendimientos de capital o a diferencias entre valor presente y valor futuro de este, cualesquiera sean las condiciones o nominaciones que se determinen para el efecto.</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Acorde con lo anterior es necesario tener en cuenta que un rendimiento financiero es la ganancia proporcional que obtiene de una operación financiera que se materializa luego de determinado período de la misma, es decir como su nombre lo indica es el “rendimiento” producto de una inversión realizada.</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lastRenderedPageBreak/>
        <w:t>Con lo anterior, no todo interés que se recibe ostenta la categoría de rendimiento financiero. De tal suerte que intereses como los moratorios tienen una naturaleza resarcitoria dado el retardo en el cumplimiento de la obligación principal.</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 xml:space="preserve">Al respecto es pertinente recordar lo expresado por la Corte Constitucional en algunos apartes de la Sentencia C-604 de 1° de agosto de 2012 Magistrado Ponente: Jorge Ignacio </w:t>
      </w:r>
      <w:proofErr w:type="spellStart"/>
      <w:r w:rsidRPr="00F60B4C">
        <w:rPr>
          <w:rFonts w:eastAsia="Times New Roman" w:cs="Times New Roman"/>
          <w:szCs w:val="24"/>
          <w:lang w:eastAsia="es-CO"/>
        </w:rPr>
        <w:t>Pretelt</w:t>
      </w:r>
      <w:proofErr w:type="spellEnd"/>
      <w:r w:rsidRPr="00F60B4C">
        <w:rPr>
          <w:rFonts w:eastAsia="Times New Roman" w:cs="Times New Roman"/>
          <w:szCs w:val="24"/>
          <w:lang w:eastAsia="es-CO"/>
        </w:rPr>
        <w:t xml:space="preserve"> </w:t>
      </w:r>
      <w:proofErr w:type="spellStart"/>
      <w:r w:rsidRPr="00F60B4C">
        <w:rPr>
          <w:rFonts w:eastAsia="Times New Roman" w:cs="Times New Roman"/>
          <w:szCs w:val="24"/>
          <w:lang w:eastAsia="es-CO"/>
        </w:rPr>
        <w:t>Chaljub</w:t>
      </w:r>
      <w:proofErr w:type="spellEnd"/>
      <w:r w:rsidRPr="00F60B4C">
        <w:rPr>
          <w:rFonts w:eastAsia="Times New Roman" w:cs="Times New Roman"/>
          <w:szCs w:val="24"/>
          <w:lang w:eastAsia="es-CO"/>
        </w:rPr>
        <w:t>, Referencia: expediente D-8896</w:t>
      </w: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b/>
          <w:bCs/>
          <w:szCs w:val="24"/>
          <w:lang w:eastAsia="es-CO"/>
        </w:rPr>
        <w:t> </w:t>
      </w: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b/>
          <w:bCs/>
          <w:szCs w:val="24"/>
          <w:lang w:eastAsia="es-CO"/>
        </w:rPr>
        <w:t>“(...) La Sala Plena de la Corte Constitucional</w:t>
      </w: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b/>
          <w:bCs/>
          <w:szCs w:val="24"/>
          <w:lang w:eastAsia="es-CO"/>
        </w:rPr>
        <w:t> </w:t>
      </w: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b/>
          <w:bCs/>
          <w:szCs w:val="24"/>
          <w:lang w:eastAsia="es-CO"/>
        </w:rPr>
        <w:t>4.4. Naturaleza y contenido de los intereses moratorios</w:t>
      </w: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szCs w:val="24"/>
          <w:lang w:eastAsia="es-CO"/>
        </w:rPr>
        <w:t xml:space="preserve">Los intereses moratorios son aquellos que se pagan para el resarcimiento tarifado o indemnización de los perjuicios que padece el acreedor por no tener consigo el dinero en la oportunidad </w:t>
      </w:r>
      <w:proofErr w:type="gramStart"/>
      <w:r w:rsidRPr="00F60B4C">
        <w:rPr>
          <w:rFonts w:eastAsia="Times New Roman" w:cs="Times New Roman"/>
          <w:szCs w:val="24"/>
          <w:lang w:eastAsia="es-CO"/>
        </w:rPr>
        <w:t>debida</w:t>
      </w:r>
      <w:r w:rsidRPr="00F60B4C">
        <w:rPr>
          <w:rFonts w:eastAsia="Times New Roman" w:cs="Times New Roman"/>
          <w:szCs w:val="24"/>
          <w:u w:val="single"/>
          <w:lang w:eastAsia="es-CO"/>
        </w:rPr>
        <w:t>[</w:t>
      </w:r>
      <w:proofErr w:type="gramEnd"/>
      <w:r w:rsidRPr="00F60B4C">
        <w:rPr>
          <w:rFonts w:eastAsia="Times New Roman" w:cs="Times New Roman"/>
          <w:szCs w:val="24"/>
          <w:u w:val="single"/>
          <w:lang w:eastAsia="es-CO"/>
        </w:rPr>
        <w:t>13]</w:t>
      </w:r>
      <w:r w:rsidRPr="00F60B4C">
        <w:rPr>
          <w:rFonts w:eastAsia="Times New Roman" w:cs="Times New Roman"/>
          <w:szCs w:val="24"/>
          <w:lang w:eastAsia="es-CO"/>
        </w:rPr>
        <w:t xml:space="preserve">. La mora genera que se hagan correr en contra del deudor los daños y perjuicios llamados moratorios que representan el perjuicio causado al acreedor por el retraso en la ejecución de la </w:t>
      </w:r>
      <w:proofErr w:type="gramStart"/>
      <w:r w:rsidRPr="00F60B4C">
        <w:rPr>
          <w:rFonts w:eastAsia="Times New Roman" w:cs="Times New Roman"/>
          <w:szCs w:val="24"/>
          <w:lang w:eastAsia="es-CO"/>
        </w:rPr>
        <w:t>obligación</w:t>
      </w:r>
      <w:r w:rsidRPr="00F60B4C">
        <w:rPr>
          <w:rFonts w:eastAsia="Times New Roman" w:cs="Times New Roman"/>
          <w:szCs w:val="24"/>
          <w:u w:val="single"/>
          <w:lang w:eastAsia="es-CO"/>
        </w:rPr>
        <w:t>[</w:t>
      </w:r>
      <w:proofErr w:type="gramEnd"/>
      <w:r w:rsidRPr="00F60B4C">
        <w:rPr>
          <w:rFonts w:eastAsia="Times New Roman" w:cs="Times New Roman"/>
          <w:szCs w:val="24"/>
          <w:u w:val="single"/>
          <w:lang w:eastAsia="es-CO"/>
        </w:rPr>
        <w:t>14]</w:t>
      </w:r>
      <w:r w:rsidRPr="00F60B4C">
        <w:rPr>
          <w:rFonts w:eastAsia="Times New Roman" w:cs="Times New Roman"/>
          <w:szCs w:val="24"/>
          <w:lang w:eastAsia="es-CO"/>
        </w:rPr>
        <w:t xml:space="preserve">. Sobre este aspecto afirman </w:t>
      </w:r>
      <w:proofErr w:type="spellStart"/>
      <w:r w:rsidRPr="00F60B4C">
        <w:rPr>
          <w:rFonts w:eastAsia="Times New Roman" w:cs="Times New Roman"/>
          <w:szCs w:val="24"/>
          <w:lang w:eastAsia="es-CO"/>
        </w:rPr>
        <w:t>Planiol</w:t>
      </w:r>
      <w:proofErr w:type="spellEnd"/>
      <w:r w:rsidRPr="00F60B4C">
        <w:rPr>
          <w:rFonts w:eastAsia="Times New Roman" w:cs="Times New Roman"/>
          <w:szCs w:val="24"/>
          <w:lang w:eastAsia="es-CO"/>
        </w:rPr>
        <w:t xml:space="preserve"> y </w:t>
      </w:r>
      <w:proofErr w:type="spellStart"/>
      <w:r w:rsidRPr="00F60B4C">
        <w:rPr>
          <w:rFonts w:eastAsia="Times New Roman" w:cs="Times New Roman"/>
          <w:szCs w:val="24"/>
          <w:lang w:eastAsia="es-CO"/>
        </w:rPr>
        <w:t>Ripert</w:t>
      </w:r>
      <w:proofErr w:type="spellEnd"/>
      <w:r w:rsidRPr="00F60B4C">
        <w:rPr>
          <w:rFonts w:eastAsia="Times New Roman" w:cs="Times New Roman"/>
          <w:szCs w:val="24"/>
          <w:lang w:eastAsia="es-CO"/>
        </w:rPr>
        <w:t>:</w:t>
      </w: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i/>
          <w:iCs/>
          <w:szCs w:val="24"/>
          <w:lang w:eastAsia="es-CO"/>
        </w:rPr>
        <w:t> </w:t>
      </w: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i/>
          <w:iCs/>
          <w:szCs w:val="24"/>
          <w:lang w:eastAsia="es-CO"/>
        </w:rPr>
        <w:t>“Los daños y perjuicios moratorios tienen como carácter esencial, ser acumulables necesariamente con el cumplimiento efectivo de la obligación, </w:t>
      </w:r>
      <w:r w:rsidRPr="00F60B4C">
        <w:rPr>
          <w:rFonts w:eastAsia="Times New Roman" w:cs="Times New Roman"/>
          <w:b/>
          <w:bCs/>
          <w:i/>
          <w:iCs/>
          <w:szCs w:val="24"/>
          <w:u w:val="single"/>
          <w:lang w:eastAsia="es-CO"/>
        </w:rPr>
        <w:t xml:space="preserve">puesto que representan el perjuicio resultante del retraso, perjuicio que no se repara por el ulterior cumplimiento de la </w:t>
      </w:r>
      <w:proofErr w:type="gramStart"/>
      <w:r w:rsidRPr="00F60B4C">
        <w:rPr>
          <w:rFonts w:eastAsia="Times New Roman" w:cs="Times New Roman"/>
          <w:b/>
          <w:bCs/>
          <w:i/>
          <w:iCs/>
          <w:szCs w:val="24"/>
          <w:u w:val="single"/>
          <w:lang w:eastAsia="es-CO"/>
        </w:rPr>
        <w:t>obligación</w:t>
      </w:r>
      <w:r w:rsidRPr="00F60B4C">
        <w:rPr>
          <w:rFonts w:eastAsia="Times New Roman" w:cs="Times New Roman"/>
          <w:b/>
          <w:bCs/>
          <w:i/>
          <w:iCs/>
          <w:szCs w:val="24"/>
          <w:lang w:eastAsia="es-CO"/>
        </w:rPr>
        <w:t>”</w:t>
      </w:r>
      <w:r w:rsidRPr="00F60B4C">
        <w:rPr>
          <w:rFonts w:eastAsia="Times New Roman" w:cs="Times New Roman"/>
          <w:b/>
          <w:bCs/>
          <w:i/>
          <w:iCs/>
          <w:szCs w:val="24"/>
          <w:u w:val="single"/>
          <w:lang w:eastAsia="es-CO"/>
        </w:rPr>
        <w:t>[</w:t>
      </w:r>
      <w:proofErr w:type="gramEnd"/>
      <w:r w:rsidRPr="00F60B4C">
        <w:rPr>
          <w:rFonts w:eastAsia="Times New Roman" w:cs="Times New Roman"/>
          <w:b/>
          <w:bCs/>
          <w:i/>
          <w:iCs/>
          <w:szCs w:val="24"/>
          <w:u w:val="single"/>
          <w:lang w:eastAsia="es-CO"/>
        </w:rPr>
        <w:t>15]</w:t>
      </w:r>
      <w:r w:rsidRPr="00F60B4C">
        <w:rPr>
          <w:rFonts w:eastAsia="Times New Roman" w:cs="Times New Roman"/>
          <w:i/>
          <w:iCs/>
          <w:szCs w:val="24"/>
          <w:lang w:eastAsia="es-CO"/>
        </w:rPr>
        <w:t>(negrillas y subrayado fuera de texto).</w:t>
      </w: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szCs w:val="24"/>
          <w:lang w:eastAsia="es-CO"/>
        </w:rPr>
        <w:t>En este sentido, la doctrina francesa, italiana y alemana reconocen el carácter indemnizatorio de los intereses moratorios:</w:t>
      </w: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szCs w:val="24"/>
          <w:lang w:eastAsia="es-CO"/>
        </w:rPr>
        <w:t xml:space="preserve">(i) La doctrina francesa, distingue entre los daños y perjuicios compensatorios y los daños y perjuicios moratorios: los primeros tienen lugar cuando hay una inejecución propiamente dicha, total o parcial; y los segundos, cuando existe un simple retraso en la ejecución de la </w:t>
      </w:r>
      <w:proofErr w:type="gramStart"/>
      <w:r w:rsidRPr="00F60B4C">
        <w:rPr>
          <w:rFonts w:eastAsia="Times New Roman" w:cs="Times New Roman"/>
          <w:szCs w:val="24"/>
          <w:lang w:eastAsia="es-CO"/>
        </w:rPr>
        <w:t>obligación</w:t>
      </w:r>
      <w:r w:rsidRPr="00F60B4C">
        <w:rPr>
          <w:rFonts w:eastAsia="Times New Roman" w:cs="Times New Roman"/>
          <w:szCs w:val="24"/>
          <w:u w:val="single"/>
          <w:lang w:eastAsia="es-CO"/>
        </w:rPr>
        <w:t>[</w:t>
      </w:r>
      <w:proofErr w:type="gramEnd"/>
      <w:r w:rsidRPr="00F60B4C">
        <w:rPr>
          <w:rFonts w:eastAsia="Times New Roman" w:cs="Times New Roman"/>
          <w:szCs w:val="24"/>
          <w:u w:val="single"/>
          <w:lang w:eastAsia="es-CO"/>
        </w:rPr>
        <w:t>16]</w:t>
      </w:r>
      <w:r w:rsidRPr="00F60B4C">
        <w:rPr>
          <w:rFonts w:eastAsia="Times New Roman" w:cs="Times New Roman"/>
          <w:szCs w:val="24"/>
          <w:lang w:eastAsia="es-CO"/>
        </w:rPr>
        <w:t xml:space="preserve">. Los daños y perjuicios compensatorios tienen por objeto colocar al acreedor en la misma situación jurídica en la que se encontraría si la obligación hubiera sido ejecutada como debía, mientras que los daños y perjuicios moratorios tienen por objeto reparar el perjuicio que el acreedor ha sufrido como consecuencia del retraso en el cumplimiento de la </w:t>
      </w:r>
      <w:proofErr w:type="gramStart"/>
      <w:r w:rsidRPr="00F60B4C">
        <w:rPr>
          <w:rFonts w:eastAsia="Times New Roman" w:cs="Times New Roman"/>
          <w:szCs w:val="24"/>
          <w:lang w:eastAsia="es-CO"/>
        </w:rPr>
        <w:t>obligación</w:t>
      </w:r>
      <w:r w:rsidRPr="00F60B4C">
        <w:rPr>
          <w:rFonts w:eastAsia="Times New Roman" w:cs="Times New Roman"/>
          <w:szCs w:val="24"/>
          <w:u w:val="single"/>
          <w:lang w:eastAsia="es-CO"/>
        </w:rPr>
        <w:t>[</w:t>
      </w:r>
      <w:proofErr w:type="gramEnd"/>
      <w:r w:rsidRPr="00F60B4C">
        <w:rPr>
          <w:rFonts w:eastAsia="Times New Roman" w:cs="Times New Roman"/>
          <w:szCs w:val="24"/>
          <w:u w:val="single"/>
          <w:lang w:eastAsia="es-CO"/>
        </w:rPr>
        <w:t>17]</w:t>
      </w:r>
      <w:r w:rsidRPr="00F60B4C">
        <w:rPr>
          <w:rFonts w:eastAsia="Times New Roman" w:cs="Times New Roman"/>
          <w:szCs w:val="24"/>
          <w:lang w:eastAsia="es-CO"/>
        </w:rPr>
        <w:t xml:space="preserve">. Por eso se afirma que en las obligaciones pecuniarias como principio general, solo caben los daños y perjuicios </w:t>
      </w:r>
      <w:proofErr w:type="gramStart"/>
      <w:r w:rsidRPr="00F60B4C">
        <w:rPr>
          <w:rFonts w:eastAsia="Times New Roman" w:cs="Times New Roman"/>
          <w:szCs w:val="24"/>
          <w:lang w:eastAsia="es-CO"/>
        </w:rPr>
        <w:t>moratorios</w:t>
      </w:r>
      <w:r w:rsidRPr="00F60B4C">
        <w:rPr>
          <w:rFonts w:eastAsia="Times New Roman" w:cs="Times New Roman"/>
          <w:szCs w:val="24"/>
          <w:u w:val="single"/>
          <w:lang w:eastAsia="es-CO"/>
        </w:rPr>
        <w:t>[</w:t>
      </w:r>
      <w:proofErr w:type="gramEnd"/>
      <w:r w:rsidRPr="00F60B4C">
        <w:rPr>
          <w:rFonts w:eastAsia="Times New Roman" w:cs="Times New Roman"/>
          <w:szCs w:val="24"/>
          <w:u w:val="single"/>
          <w:lang w:eastAsia="es-CO"/>
        </w:rPr>
        <w:t>18]</w:t>
      </w:r>
      <w:r w:rsidRPr="00F60B4C">
        <w:rPr>
          <w:rFonts w:eastAsia="Times New Roman" w:cs="Times New Roman"/>
          <w:szCs w:val="24"/>
          <w:lang w:eastAsia="es-CO"/>
        </w:rPr>
        <w:t>.</w:t>
      </w:r>
    </w:p>
    <w:p w:rsidR="00F60B4C" w:rsidRPr="00F60B4C" w:rsidRDefault="00F60B4C" w:rsidP="00F60B4C">
      <w:pPr>
        <w:spacing w:after="0" w:line="240" w:lineRule="auto"/>
        <w:ind w:left="180"/>
        <w:jc w:val="both"/>
        <w:rPr>
          <w:rFonts w:eastAsia="Times New Roman" w:cs="Times New Roman"/>
          <w:szCs w:val="24"/>
          <w:lang w:eastAsia="es-CO"/>
        </w:rPr>
      </w:pP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szCs w:val="24"/>
          <w:lang w:eastAsia="es-CO"/>
        </w:rPr>
        <w:t>(ii) En Italia, los </w:t>
      </w:r>
      <w:r w:rsidRPr="00F60B4C">
        <w:rPr>
          <w:rFonts w:eastAsia="Times New Roman" w:cs="Times New Roman"/>
          <w:i/>
          <w:iCs/>
          <w:szCs w:val="24"/>
          <w:lang w:eastAsia="es-CO"/>
        </w:rPr>
        <w:t>intereses moratorios </w:t>
      </w:r>
      <w:r w:rsidRPr="00F60B4C">
        <w:rPr>
          <w:rFonts w:eastAsia="Times New Roman" w:cs="Times New Roman"/>
          <w:szCs w:val="24"/>
          <w:lang w:eastAsia="es-CO"/>
        </w:rPr>
        <w:t xml:space="preserve">tienen una función de resarcimiento del daño sufrido por el acreedor como consecuencia del retraso en el cumplimiento de la obligación (artículo 1224 del </w:t>
      </w:r>
      <w:proofErr w:type="gramStart"/>
      <w:r w:rsidRPr="00F60B4C">
        <w:rPr>
          <w:rFonts w:eastAsia="Times New Roman" w:cs="Times New Roman"/>
          <w:szCs w:val="24"/>
          <w:lang w:eastAsia="es-CO"/>
        </w:rPr>
        <w:t>C.C.)</w:t>
      </w:r>
      <w:r w:rsidRPr="00F60B4C">
        <w:rPr>
          <w:rFonts w:eastAsia="Times New Roman" w:cs="Times New Roman"/>
          <w:szCs w:val="24"/>
          <w:u w:val="single"/>
          <w:lang w:eastAsia="es-CO"/>
        </w:rPr>
        <w:t>[</w:t>
      </w:r>
      <w:proofErr w:type="gramEnd"/>
      <w:r w:rsidRPr="00F60B4C">
        <w:rPr>
          <w:rFonts w:eastAsia="Times New Roman" w:cs="Times New Roman"/>
          <w:szCs w:val="24"/>
          <w:u w:val="single"/>
          <w:lang w:eastAsia="es-CO"/>
        </w:rPr>
        <w:t>19]</w:t>
      </w:r>
      <w:r w:rsidRPr="00F60B4C">
        <w:rPr>
          <w:rFonts w:eastAsia="Times New Roman" w:cs="Times New Roman"/>
          <w:szCs w:val="24"/>
          <w:lang w:eastAsia="es-CO"/>
        </w:rPr>
        <w:t>, por ello MESSINEO los define como “la medida del resarcimiento”</w:t>
      </w:r>
      <w:r w:rsidRPr="00F60B4C">
        <w:rPr>
          <w:rFonts w:eastAsia="Times New Roman" w:cs="Times New Roman"/>
          <w:szCs w:val="24"/>
          <w:u w:val="single"/>
          <w:lang w:eastAsia="es-CO"/>
        </w:rPr>
        <w:t>[20]</w:t>
      </w:r>
      <w:r w:rsidRPr="00F60B4C">
        <w:rPr>
          <w:rFonts w:eastAsia="Times New Roman" w:cs="Times New Roman"/>
          <w:szCs w:val="24"/>
          <w:lang w:eastAsia="es-CO"/>
        </w:rPr>
        <w:t>.</w:t>
      </w:r>
    </w:p>
    <w:p w:rsidR="00F60B4C" w:rsidRPr="00F60B4C" w:rsidRDefault="00F60B4C" w:rsidP="00F60B4C">
      <w:pPr>
        <w:spacing w:after="0" w:line="240" w:lineRule="auto"/>
        <w:ind w:left="180"/>
        <w:jc w:val="both"/>
        <w:rPr>
          <w:rFonts w:eastAsia="Times New Roman" w:cs="Times New Roman"/>
          <w:szCs w:val="24"/>
          <w:lang w:eastAsia="es-CO"/>
        </w:rPr>
      </w:pP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szCs w:val="24"/>
          <w:lang w:eastAsia="es-CO"/>
        </w:rPr>
        <w:t>(iii) El Código Civil Alemán supedita, como regla general, el devengo de los intereses moratorios a la constitución en mora del deudor y los identifica como una indemnización de perjuicios al deudor por el incumplimiento:</w:t>
      </w: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i/>
          <w:iCs/>
          <w:szCs w:val="24"/>
          <w:lang w:eastAsia="es-CO"/>
        </w:rPr>
        <w:t> </w:t>
      </w: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i/>
          <w:iCs/>
          <w:szCs w:val="24"/>
          <w:lang w:eastAsia="es-CO"/>
        </w:rPr>
        <w:t xml:space="preserve">“Por consiguiente a pesar de la mora el deudor continúa obligado a cumplir la prestación y además ha de indemnizar al acreedor los daños causados por la </w:t>
      </w:r>
      <w:proofErr w:type="gramStart"/>
      <w:r w:rsidRPr="00F60B4C">
        <w:rPr>
          <w:rFonts w:eastAsia="Times New Roman" w:cs="Times New Roman"/>
          <w:i/>
          <w:iCs/>
          <w:szCs w:val="24"/>
          <w:lang w:eastAsia="es-CO"/>
        </w:rPr>
        <w:t>mora”</w:t>
      </w:r>
      <w:r w:rsidRPr="00F60B4C">
        <w:rPr>
          <w:rFonts w:eastAsia="Times New Roman" w:cs="Times New Roman"/>
          <w:b/>
          <w:bCs/>
          <w:i/>
          <w:iCs/>
          <w:szCs w:val="24"/>
          <w:u w:val="single"/>
          <w:lang w:eastAsia="es-CO"/>
        </w:rPr>
        <w:t>[</w:t>
      </w:r>
      <w:proofErr w:type="gramEnd"/>
      <w:r w:rsidRPr="00F60B4C">
        <w:rPr>
          <w:rFonts w:eastAsia="Times New Roman" w:cs="Times New Roman"/>
          <w:b/>
          <w:bCs/>
          <w:i/>
          <w:iCs/>
          <w:szCs w:val="24"/>
          <w:u w:val="single"/>
          <w:lang w:eastAsia="es-CO"/>
        </w:rPr>
        <w:t>21]</w:t>
      </w:r>
      <w:r w:rsidRPr="00F60B4C">
        <w:rPr>
          <w:rFonts w:eastAsia="Times New Roman" w:cs="Times New Roman"/>
          <w:b/>
          <w:bCs/>
          <w:i/>
          <w:iCs/>
          <w:szCs w:val="24"/>
          <w:lang w:eastAsia="es-CO"/>
        </w:rPr>
        <w:t>.</w:t>
      </w: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b/>
          <w:bCs/>
          <w:szCs w:val="24"/>
          <w:lang w:eastAsia="es-CO"/>
        </w:rPr>
        <w:t> </w:t>
      </w: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szCs w:val="24"/>
          <w:lang w:eastAsia="es-CO"/>
        </w:rPr>
        <w:t xml:space="preserve">Siguiendo estas vertientes, en especial la francesa, el Código Civil de Colombia consagra los intereses moratorios como una indemnización derivada del </w:t>
      </w:r>
      <w:proofErr w:type="gramStart"/>
      <w:r w:rsidRPr="00F60B4C">
        <w:rPr>
          <w:rFonts w:eastAsia="Times New Roman" w:cs="Times New Roman"/>
          <w:szCs w:val="24"/>
          <w:lang w:eastAsia="es-CO"/>
        </w:rPr>
        <w:t>retardo</w:t>
      </w:r>
      <w:r w:rsidRPr="00F60B4C">
        <w:rPr>
          <w:rFonts w:eastAsia="Times New Roman" w:cs="Times New Roman"/>
          <w:szCs w:val="24"/>
          <w:u w:val="single"/>
          <w:lang w:eastAsia="es-CO"/>
        </w:rPr>
        <w:t>[</w:t>
      </w:r>
      <w:proofErr w:type="gramEnd"/>
      <w:r w:rsidRPr="00F60B4C">
        <w:rPr>
          <w:rFonts w:eastAsia="Times New Roman" w:cs="Times New Roman"/>
          <w:szCs w:val="24"/>
          <w:u w:val="single"/>
          <w:lang w:eastAsia="es-CO"/>
        </w:rPr>
        <w:t>22]</w:t>
      </w:r>
      <w:r w:rsidRPr="00F60B4C">
        <w:rPr>
          <w:rFonts w:eastAsia="Times New Roman" w:cs="Times New Roman"/>
          <w:szCs w:val="24"/>
          <w:lang w:eastAsia="es-CO"/>
        </w:rPr>
        <w:t>, la cual podrá ser convencional si es tasada por las partes o en su defecto legal, caso en el cual será equivalente al 6 por ciento anual:</w:t>
      </w: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szCs w:val="24"/>
          <w:lang w:eastAsia="es-CO"/>
        </w:rPr>
        <w:t>(...)”.</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 xml:space="preserve">En este contexto los intereses moratorios pagados por el retardo en el cumplimiento de la obligación principal, reconocidos en el Laudo Arbitral no son rentas producidas por el </w:t>
      </w:r>
      <w:r w:rsidRPr="00F60B4C">
        <w:rPr>
          <w:rFonts w:eastAsia="Times New Roman" w:cs="Times New Roman"/>
          <w:szCs w:val="24"/>
          <w:lang w:eastAsia="es-CO"/>
        </w:rPr>
        <w:lastRenderedPageBreak/>
        <w:t>capital, sino que corresponden a sanciones por incumplimiento a cargo de la entidad deudora, generadas por mandato de la ley por lo cual no pueden considerarse como rendimientos financieros no siendo aplicable para estos casos el </w:t>
      </w:r>
      <w:hyperlink r:id="rId8" w:tooltip="Estatuto Tributario CETA" w:history="1">
        <w:r w:rsidRPr="00F60B4C">
          <w:rPr>
            <w:rFonts w:eastAsia="Times New Roman" w:cs="Times New Roman"/>
            <w:szCs w:val="24"/>
            <w:u w:val="single"/>
            <w:lang w:eastAsia="es-CO"/>
          </w:rPr>
          <w:t>artículo 395</w:t>
        </w:r>
      </w:hyperlink>
      <w:r w:rsidRPr="00F60B4C">
        <w:rPr>
          <w:rFonts w:eastAsia="Times New Roman" w:cs="Times New Roman"/>
          <w:szCs w:val="24"/>
          <w:lang w:eastAsia="es-CO"/>
        </w:rPr>
        <w:t> del Estatuto Tributario.</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No obstante, lo anterior no significa que sobre estas sumas no proceda la retención en la fuente, pues de acuerdo con lo establecido en el </w:t>
      </w:r>
      <w:hyperlink r:id="rId9" w:tooltip="Estatuto Tributario CETA" w:history="1">
        <w:r w:rsidRPr="00F60B4C">
          <w:rPr>
            <w:rFonts w:eastAsia="Times New Roman" w:cs="Times New Roman"/>
            <w:szCs w:val="24"/>
            <w:u w:val="single"/>
            <w:lang w:eastAsia="es-CO"/>
          </w:rPr>
          <w:t>artículo 26</w:t>
        </w:r>
      </w:hyperlink>
      <w:r w:rsidRPr="00F60B4C">
        <w:rPr>
          <w:rFonts w:eastAsia="Times New Roman" w:cs="Times New Roman"/>
          <w:szCs w:val="24"/>
          <w:lang w:eastAsia="es-CO"/>
        </w:rPr>
        <w:t> del Estatuto Tributario, para que un ingreso pueda considerarse como constitutivo de renta y por lo tanto sujeto a retención en la fuente se requiere:</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1. Que sea un ingreso propio.</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2. Que sea realizado durante el año o período gravable.</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3. Que sea susceptible de capitalizarse o producir un incremento neto en el patrimonio.</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4. Que no haya sido expresamente exceptuado como constitutivo de renta o de ganancia ocasional.</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De manera concordante el </w:t>
      </w:r>
      <w:hyperlink r:id="rId10" w:tooltip="Estatuto Tributario CETA" w:history="1">
        <w:r w:rsidRPr="00F60B4C">
          <w:rPr>
            <w:rFonts w:eastAsia="Times New Roman" w:cs="Times New Roman"/>
            <w:szCs w:val="24"/>
            <w:u w:val="single"/>
            <w:lang w:eastAsia="es-CO"/>
          </w:rPr>
          <w:t>artículo 369</w:t>
        </w:r>
      </w:hyperlink>
      <w:r w:rsidRPr="00F60B4C">
        <w:rPr>
          <w:rFonts w:eastAsia="Times New Roman" w:cs="Times New Roman"/>
          <w:szCs w:val="24"/>
          <w:lang w:eastAsia="es-CO"/>
        </w:rPr>
        <w:t> ibídem, consagra cuando no procede la práctica de retención en la fuente:</w:t>
      </w: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b/>
          <w:bCs/>
          <w:szCs w:val="24"/>
          <w:lang w:eastAsia="es-CO"/>
        </w:rPr>
        <w:t>“</w:t>
      </w:r>
      <w:hyperlink r:id="rId11" w:tooltip="Estatuto Tributario CETA" w:history="1">
        <w:r w:rsidRPr="00F60B4C">
          <w:rPr>
            <w:rFonts w:eastAsia="Times New Roman" w:cs="Times New Roman"/>
            <w:b/>
            <w:bCs/>
            <w:szCs w:val="24"/>
            <w:u w:val="single"/>
            <w:lang w:eastAsia="es-CO"/>
          </w:rPr>
          <w:t>Artículo 369</w:t>
        </w:r>
      </w:hyperlink>
      <w:r w:rsidRPr="00F60B4C">
        <w:rPr>
          <w:rFonts w:eastAsia="Times New Roman" w:cs="Times New Roman"/>
          <w:b/>
          <w:bCs/>
          <w:szCs w:val="24"/>
          <w:lang w:eastAsia="es-CO"/>
        </w:rPr>
        <w:t>. </w:t>
      </w:r>
      <w:r w:rsidRPr="00F60B4C">
        <w:rPr>
          <w:rFonts w:eastAsia="Times New Roman" w:cs="Times New Roman"/>
          <w:b/>
          <w:bCs/>
          <w:i/>
          <w:iCs/>
          <w:szCs w:val="24"/>
          <w:lang w:eastAsia="es-CO"/>
        </w:rPr>
        <w:t>Cuando no se efectúa la retención</w:t>
      </w:r>
      <w:r w:rsidRPr="00F60B4C">
        <w:rPr>
          <w:rFonts w:eastAsia="Times New Roman" w:cs="Times New Roman"/>
          <w:b/>
          <w:bCs/>
          <w:szCs w:val="24"/>
          <w:lang w:eastAsia="es-CO"/>
        </w:rPr>
        <w:t>.</w:t>
      </w:r>
      <w:r w:rsidRPr="00F60B4C">
        <w:rPr>
          <w:rFonts w:eastAsia="Times New Roman" w:cs="Times New Roman"/>
          <w:szCs w:val="24"/>
          <w:lang w:eastAsia="es-CO"/>
        </w:rPr>
        <w:t> &lt;Artículo modificado por el artículo 154 de la Ley 1819 de 2016&gt;. No están sujetos a retención en la fuente:</w:t>
      </w: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szCs w:val="24"/>
          <w:lang w:eastAsia="es-CO"/>
        </w:rPr>
        <w:t>1. Los pagos o abonos en cuenta que se efectúen a:</w:t>
      </w: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szCs w:val="24"/>
          <w:lang w:eastAsia="es-CO"/>
        </w:rPr>
        <w:t>a) Los no contribuyentes no declarantes, a que se refiere el </w:t>
      </w:r>
      <w:hyperlink r:id="rId12" w:tooltip="Estatuto Tributario CETA" w:history="1">
        <w:r w:rsidRPr="00F60B4C">
          <w:rPr>
            <w:rFonts w:eastAsia="Times New Roman" w:cs="Times New Roman"/>
            <w:szCs w:val="24"/>
            <w:u w:val="single"/>
            <w:lang w:eastAsia="es-CO"/>
          </w:rPr>
          <w:t>artículo 22</w:t>
        </w:r>
      </w:hyperlink>
      <w:r w:rsidRPr="00F60B4C">
        <w:rPr>
          <w:rFonts w:eastAsia="Times New Roman" w:cs="Times New Roman"/>
          <w:szCs w:val="24"/>
          <w:lang w:eastAsia="es-CO"/>
        </w:rPr>
        <w:t>;</w:t>
      </w: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szCs w:val="24"/>
          <w:lang w:eastAsia="es-CO"/>
        </w:rPr>
        <w:t>b) Las entidades no contribuyentes declarantes, a que hace referencia el </w:t>
      </w:r>
      <w:hyperlink r:id="rId13" w:tooltip="Estatuto Tributario CETA" w:history="1">
        <w:r w:rsidRPr="00F60B4C">
          <w:rPr>
            <w:rFonts w:eastAsia="Times New Roman" w:cs="Times New Roman"/>
            <w:szCs w:val="24"/>
            <w:u w:val="single"/>
            <w:lang w:eastAsia="es-CO"/>
          </w:rPr>
          <w:t>artículo 23</w:t>
        </w:r>
      </w:hyperlink>
      <w:r w:rsidRPr="00F60B4C">
        <w:rPr>
          <w:rFonts w:eastAsia="Times New Roman" w:cs="Times New Roman"/>
          <w:szCs w:val="24"/>
          <w:lang w:eastAsia="es-CO"/>
        </w:rPr>
        <w:t>.</w:t>
      </w: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szCs w:val="24"/>
          <w:lang w:eastAsia="es-CO"/>
        </w:rPr>
        <w:t>2. Los pagos o abonos en cuenta que por disposiciones especiales sean exentos en cabeza del beneficiario.</w:t>
      </w:r>
    </w:p>
    <w:p w:rsidR="00F60B4C" w:rsidRPr="00F60B4C" w:rsidRDefault="00F60B4C" w:rsidP="00F60B4C">
      <w:pPr>
        <w:spacing w:after="0" w:line="240" w:lineRule="auto"/>
        <w:ind w:left="180"/>
        <w:jc w:val="both"/>
        <w:rPr>
          <w:rFonts w:eastAsia="Times New Roman" w:cs="Times New Roman"/>
          <w:szCs w:val="24"/>
          <w:lang w:eastAsia="es-CO"/>
        </w:rPr>
      </w:pPr>
      <w:r w:rsidRPr="00F60B4C">
        <w:rPr>
          <w:rFonts w:eastAsia="Times New Roman" w:cs="Times New Roman"/>
          <w:szCs w:val="24"/>
          <w:lang w:eastAsia="es-CO"/>
        </w:rPr>
        <w:t>3. Los pagos o abonos en cuenta respecto de los cuales deba hacerse retención en la fuente, en virtud de disposiciones especiales, por otros conceptos”.</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De tal suerte que para determinar si los intereses moratorios están o no sometidos a retención en la fuente deberá tenerse en cuenta la obligación que les dio origen, si el ingreso de aquella está sometido al impuesto sobre la renta, procede en consecuencia la práctica de retención. Pues es sabido que lo accesorio sigue la suerte de lo principal.</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Así entonces deberá tenerse en cuenta la naturaleza del pago. Comoquiera que el Laudo Arbitral reconoce el pago por concepto de la ejecución de un contrato de suministro y no existe tarifa específica sobre este tipo de contratos deberá remitirse a la señalada en el </w:t>
      </w:r>
      <w:hyperlink r:id="rId14" w:tooltip="Estatuto Tributario CETA" w:history="1">
        <w:r w:rsidRPr="00F60B4C">
          <w:rPr>
            <w:rFonts w:eastAsia="Times New Roman" w:cs="Times New Roman"/>
            <w:szCs w:val="24"/>
            <w:u w:val="single"/>
            <w:lang w:eastAsia="es-CO"/>
          </w:rPr>
          <w:t>artículo 401</w:t>
        </w:r>
      </w:hyperlink>
      <w:r w:rsidRPr="00F60B4C">
        <w:rPr>
          <w:rFonts w:eastAsia="Times New Roman" w:cs="Times New Roman"/>
          <w:szCs w:val="24"/>
          <w:lang w:eastAsia="es-CO"/>
        </w:rPr>
        <w:t> del Estatuto Tributario “</w:t>
      </w:r>
      <w:hyperlink r:id="rId15" w:tooltip="Estatuto Tributario CETA" w:history="1">
        <w:r w:rsidRPr="00F60B4C">
          <w:rPr>
            <w:rFonts w:eastAsia="Times New Roman" w:cs="Times New Roman"/>
            <w:szCs w:val="24"/>
            <w:u w:val="single"/>
            <w:lang w:eastAsia="es-CO"/>
          </w:rPr>
          <w:t>Artículo 401</w:t>
        </w:r>
      </w:hyperlink>
      <w:r w:rsidRPr="00F60B4C">
        <w:rPr>
          <w:rFonts w:eastAsia="Times New Roman" w:cs="Times New Roman"/>
          <w:szCs w:val="24"/>
          <w:lang w:eastAsia="es-CO"/>
        </w:rPr>
        <w:t>. </w:t>
      </w:r>
      <w:r w:rsidRPr="00F60B4C">
        <w:rPr>
          <w:rFonts w:eastAsia="Times New Roman" w:cs="Times New Roman"/>
          <w:i/>
          <w:iCs/>
          <w:szCs w:val="24"/>
          <w:lang w:eastAsia="es-CO"/>
        </w:rPr>
        <w:t>Retención sobre otros ingresos tributarios”</w:t>
      </w:r>
      <w:r w:rsidRPr="00F60B4C">
        <w:rPr>
          <w:rFonts w:eastAsia="Times New Roman" w:cs="Times New Roman"/>
          <w:szCs w:val="24"/>
          <w:lang w:eastAsia="es-CO"/>
        </w:rPr>
        <w:t>. aplicable a los conceptos que no tienen una regulación especial.</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Acorde con lo anterior la tarifa de retención será del 3.5% si el beneficiario del pago es un no declarante del impuesto sobre la renta, o del 2.5% si es un declarante. Sobre el tema se anexa el Oficio número 007074 29 de marzo de 2017.</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En los anteriores términos se da respuesta a su consulta y se revoca el Concepto número 046276 de junio 9 de 2009 que contiene doctrina contraria a la aquí expuesta.</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Atentamente,</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La Directora de Gestión Jurídica</w:t>
      </w:r>
    </w:p>
    <w:p w:rsidR="00F60B4C" w:rsidRPr="00F60B4C" w:rsidRDefault="00F60B4C" w:rsidP="00F60B4C">
      <w:pPr>
        <w:spacing w:after="0" w:line="240" w:lineRule="auto"/>
        <w:jc w:val="right"/>
        <w:rPr>
          <w:rFonts w:eastAsia="Times New Roman" w:cs="Times New Roman"/>
          <w:szCs w:val="24"/>
          <w:lang w:eastAsia="es-CO"/>
        </w:rPr>
      </w:pPr>
      <w:r w:rsidRPr="00F60B4C">
        <w:rPr>
          <w:rFonts w:eastAsia="Times New Roman" w:cs="Times New Roman"/>
          <w:i/>
          <w:iCs/>
          <w:szCs w:val="24"/>
          <w:lang w:eastAsia="es-CO"/>
        </w:rPr>
        <w:t> </w:t>
      </w:r>
    </w:p>
    <w:p w:rsidR="00F60B4C" w:rsidRPr="00F60B4C" w:rsidRDefault="00F60B4C" w:rsidP="00F60B4C">
      <w:pPr>
        <w:spacing w:after="0" w:line="240" w:lineRule="auto"/>
        <w:jc w:val="right"/>
        <w:rPr>
          <w:rFonts w:eastAsia="Times New Roman" w:cs="Times New Roman"/>
          <w:szCs w:val="24"/>
          <w:lang w:eastAsia="es-CO"/>
        </w:rPr>
      </w:pPr>
      <w:r w:rsidRPr="00F60B4C">
        <w:rPr>
          <w:rFonts w:eastAsia="Times New Roman" w:cs="Times New Roman"/>
          <w:i/>
          <w:iCs/>
          <w:szCs w:val="24"/>
          <w:lang w:eastAsia="es-CO"/>
        </w:rPr>
        <w:t>Liliana Andrea Forero Gómez,</w:t>
      </w:r>
    </w:p>
    <w:p w:rsidR="00F60B4C" w:rsidRPr="00F60B4C" w:rsidRDefault="00F60B4C" w:rsidP="00F60B4C">
      <w:pPr>
        <w:spacing w:after="0" w:line="240" w:lineRule="auto"/>
        <w:jc w:val="right"/>
        <w:rPr>
          <w:rFonts w:eastAsia="Times New Roman" w:cs="Times New Roman"/>
          <w:szCs w:val="24"/>
          <w:lang w:eastAsia="es-CO"/>
        </w:rPr>
      </w:pPr>
      <w:r w:rsidRPr="00F60B4C">
        <w:rPr>
          <w:rFonts w:eastAsia="Times New Roman" w:cs="Times New Roman"/>
          <w:szCs w:val="24"/>
          <w:lang w:eastAsia="es-CO"/>
        </w:rPr>
        <w:t>Dirección de Gestión Jurídica</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lastRenderedPageBreak/>
        <w:t> </w:t>
      </w:r>
    </w:p>
    <w:p w:rsidR="00F60B4C" w:rsidRPr="00F60B4C" w:rsidRDefault="00F60B4C" w:rsidP="00F60B4C">
      <w:pPr>
        <w:spacing w:after="0" w:line="240" w:lineRule="auto"/>
        <w:jc w:val="both"/>
        <w:rPr>
          <w:rFonts w:eastAsia="Times New Roman" w:cs="Times New Roman"/>
          <w:szCs w:val="24"/>
          <w:lang w:eastAsia="es-CO"/>
        </w:rPr>
      </w:pPr>
      <w:r w:rsidRPr="00F60B4C">
        <w:rPr>
          <w:rFonts w:eastAsia="Times New Roman" w:cs="Times New Roman"/>
          <w:szCs w:val="24"/>
          <w:lang w:eastAsia="es-CO"/>
        </w:rPr>
        <w:t> </w:t>
      </w:r>
    </w:p>
    <w:p w:rsidR="00F60B4C" w:rsidRPr="00F60B4C" w:rsidRDefault="00F60B4C" w:rsidP="00F60B4C">
      <w:pPr>
        <w:shd w:val="clear" w:color="auto" w:fill="FFFFFF"/>
        <w:spacing w:after="0" w:line="240" w:lineRule="auto"/>
        <w:jc w:val="both"/>
        <w:rPr>
          <w:rFonts w:eastAsia="Times New Roman" w:cs="Times New Roman"/>
          <w:szCs w:val="24"/>
          <w:lang w:eastAsia="es-CO"/>
        </w:rPr>
      </w:pPr>
      <w:r w:rsidRPr="00F60B4C">
        <w:rPr>
          <w:rFonts w:eastAsia="Times New Roman" w:cs="Times New Roman"/>
          <w:b/>
          <w:bCs/>
          <w:szCs w:val="24"/>
          <w:lang w:eastAsia="es-CO"/>
        </w:rPr>
        <w:t>Publicado en D.O. 50.927 del 15 de abril de 2019.</w:t>
      </w:r>
    </w:p>
    <w:p w:rsidR="00F60B4C" w:rsidRPr="00F60B4C" w:rsidRDefault="00F60B4C" w:rsidP="00F60B4C">
      <w:pPr>
        <w:spacing w:after="285" w:line="240" w:lineRule="auto"/>
        <w:jc w:val="both"/>
        <w:rPr>
          <w:rFonts w:eastAsia="Times New Roman" w:cs="Times New Roman"/>
          <w:szCs w:val="24"/>
          <w:lang w:eastAsia="es-CO"/>
        </w:rPr>
      </w:pPr>
      <w:r w:rsidRPr="00F60B4C">
        <w:rPr>
          <w:rFonts w:eastAsia="Times New Roman" w:cs="Times New Roman"/>
          <w:szCs w:val="24"/>
          <w:lang w:eastAsia="es-CO"/>
        </w:rPr>
        <w:t> </w:t>
      </w:r>
    </w:p>
    <w:p w:rsidR="00730617" w:rsidRPr="00F60B4C" w:rsidRDefault="00730617">
      <w:pPr>
        <w:rPr>
          <w:rFonts w:cs="Times New Roman"/>
          <w:szCs w:val="24"/>
        </w:rPr>
      </w:pPr>
    </w:p>
    <w:sectPr w:rsidR="00730617" w:rsidRPr="00F60B4C"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4C"/>
    <w:rsid w:val="00730617"/>
    <w:rsid w:val="00A45230"/>
    <w:rsid w:val="00F60B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CCC8"/>
  <w15:chartTrackingRefBased/>
  <w15:docId w15:val="{1F7E317E-D6A8-46F5-99AD-98A2F33D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0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97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89" TargetMode="External"/><Relationship Id="rId13" Type="http://schemas.openxmlformats.org/officeDocument/2006/relationships/hyperlink" Target="https://www.ceta.org.co/html/vista_de_un_articulo.asp?Norma=51"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89" TargetMode="External"/><Relationship Id="rId12" Type="http://schemas.openxmlformats.org/officeDocument/2006/relationships/hyperlink" Target="https://www.ceta.org.co/html/vista_de_un_articulo.asp?Norma=5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496" TargetMode="External"/><Relationship Id="rId11" Type="http://schemas.openxmlformats.org/officeDocument/2006/relationships/hyperlink" Target="https://www.ceta.org.co/html/vista_de_un_articulo.asp?Norma=462" TargetMode="External"/><Relationship Id="rId5" Type="http://schemas.openxmlformats.org/officeDocument/2006/relationships/hyperlink" Target="https://www.ceta.org.co/html/vista_de_un_articulo.asp?Norma=489" TargetMode="External"/><Relationship Id="rId15" Type="http://schemas.openxmlformats.org/officeDocument/2006/relationships/hyperlink" Target="https://www.ceta.org.co/html/vista_de_un_articulo.asp?Norma=496" TargetMode="External"/><Relationship Id="rId10" Type="http://schemas.openxmlformats.org/officeDocument/2006/relationships/hyperlink" Target="https://www.ceta.org.co/html/vista_de_un_articulo.asp?Norma=462" TargetMode="External"/><Relationship Id="rId4" Type="http://schemas.openxmlformats.org/officeDocument/2006/relationships/hyperlink" Target="https://www.ceta.org.co/html/vista_de_un_articulo.asp?Norma=462" TargetMode="External"/><Relationship Id="rId9" Type="http://schemas.openxmlformats.org/officeDocument/2006/relationships/hyperlink" Target="https://www.ceta.org.co/html/vista_de_un_articulo.asp?Norma=56" TargetMode="External"/><Relationship Id="rId14" Type="http://schemas.openxmlformats.org/officeDocument/2006/relationships/hyperlink" Target="https://www.ceta.org.co/html/vista_de_un_articulo.asp?Norma=49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1596</Words>
  <Characters>8781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2019-04-26T02:10:00Z</dcterms:created>
  <dcterms:modified xsi:type="dcterms:W3CDTF">2019-04-26T02:12:00Z</dcterms:modified>
</cp:coreProperties>
</file>